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2592" w14:textId="716839AA" w:rsidR="00B91A52" w:rsidRPr="0060025D" w:rsidRDefault="00B91A52" w:rsidP="00B91A52">
      <w:pPr>
        <w:jc w:val="center"/>
        <w:rPr>
          <w:rFonts w:ascii="Times New Roman" w:hAnsi="Times New Roman"/>
          <w:b/>
          <w:u w:val="single"/>
        </w:rPr>
      </w:pPr>
      <w:bookmarkStart w:id="0" w:name="_GoBack"/>
      <w:bookmarkEnd w:id="0"/>
    </w:p>
    <w:p w14:paraId="4679109D" w14:textId="783426E6" w:rsidR="00B91A52" w:rsidRPr="0060025D" w:rsidRDefault="00B91A52" w:rsidP="00ED66A0">
      <w:pPr>
        <w:ind w:left="360"/>
        <w:rPr>
          <w:rFonts w:ascii="Times New Roman" w:hAnsi="Times New Roman"/>
          <w:b/>
          <w:u w:val="single"/>
        </w:rPr>
      </w:pPr>
      <w:r w:rsidRPr="0060025D">
        <w:rPr>
          <w:rFonts w:ascii="Times New Roman" w:hAnsi="Times New Roman"/>
          <w:b/>
        </w:rPr>
        <w:t xml:space="preserve">Vendor Name: </w:t>
      </w:r>
      <w:r w:rsidRPr="0060025D">
        <w:rPr>
          <w:rFonts w:ascii="Times New Roman" w:hAnsi="Times New Roman"/>
          <w:b/>
          <w:u w:val="single"/>
        </w:rPr>
        <w:t>___________________________________</w:t>
      </w:r>
    </w:p>
    <w:p w14:paraId="1A379FBC" w14:textId="77777777" w:rsidR="009645F1" w:rsidRPr="0060025D" w:rsidRDefault="009645F1" w:rsidP="00ED66A0">
      <w:pPr>
        <w:ind w:hanging="720"/>
        <w:rPr>
          <w:rFonts w:ascii="Times New Roman" w:hAnsi="Times New Roman"/>
        </w:rPr>
      </w:pPr>
    </w:p>
    <w:p w14:paraId="3BC4B280" w14:textId="68CC8B82" w:rsidR="00E1517B" w:rsidRDefault="009645F1" w:rsidP="00ED66A0">
      <w:pPr>
        <w:ind w:left="360"/>
        <w:rPr>
          <w:rFonts w:ascii="Times New Roman" w:hAnsi="Times New Roman"/>
        </w:rPr>
      </w:pPr>
      <w:r w:rsidRPr="0060025D">
        <w:rPr>
          <w:rFonts w:ascii="Times New Roman" w:hAnsi="Times New Roman"/>
        </w:rPr>
        <w:t>Fill in the hourly rate for the Territory or Territories you are capable of servicing, keeping in mind that you must be able to service the entire Geographical Unit(s) selected.</w:t>
      </w:r>
    </w:p>
    <w:p w14:paraId="0A10DB56" w14:textId="77777777" w:rsidR="00ED66A0" w:rsidRPr="0060025D" w:rsidRDefault="00ED66A0" w:rsidP="00ED66A0">
      <w:pPr>
        <w:ind w:left="-720"/>
        <w:rPr>
          <w:rFonts w:ascii="Times New Roman" w:hAnsi="Times New Roman"/>
        </w:rPr>
      </w:pPr>
    </w:p>
    <w:tbl>
      <w:tblPr>
        <w:tblStyle w:val="TableGrid"/>
        <w:tblW w:w="0" w:type="auto"/>
        <w:tblInd w:w="355" w:type="dxa"/>
        <w:tblLook w:val="04A0" w:firstRow="1" w:lastRow="0" w:firstColumn="1" w:lastColumn="0" w:noHBand="0" w:noVBand="1"/>
      </w:tblPr>
      <w:tblGrid>
        <w:gridCol w:w="3841"/>
        <w:gridCol w:w="3117"/>
        <w:gridCol w:w="3117"/>
      </w:tblGrid>
      <w:tr w:rsidR="00E1517B" w:rsidRPr="0060025D" w14:paraId="5FCD29CE" w14:textId="77777777" w:rsidTr="00ED66A0">
        <w:tc>
          <w:tcPr>
            <w:tcW w:w="3841" w:type="dxa"/>
          </w:tcPr>
          <w:p w14:paraId="62386D0F" w14:textId="797970DE" w:rsidR="00E1517B" w:rsidRPr="0060025D" w:rsidRDefault="00E1517B" w:rsidP="00E1517B">
            <w:pPr>
              <w:jc w:val="center"/>
              <w:rPr>
                <w:rFonts w:ascii="Times New Roman" w:hAnsi="Times New Roman"/>
                <w:b/>
              </w:rPr>
            </w:pPr>
            <w:r w:rsidRPr="0060025D">
              <w:rPr>
                <w:rFonts w:ascii="Times New Roman" w:hAnsi="Times New Roman"/>
                <w:b/>
              </w:rPr>
              <w:t>Commodity Code</w:t>
            </w:r>
          </w:p>
        </w:tc>
        <w:tc>
          <w:tcPr>
            <w:tcW w:w="3117" w:type="dxa"/>
          </w:tcPr>
          <w:p w14:paraId="29BCB476" w14:textId="07BD9508" w:rsidR="00E1517B" w:rsidRPr="0060025D" w:rsidRDefault="00E1517B" w:rsidP="00E1517B">
            <w:pPr>
              <w:jc w:val="center"/>
              <w:rPr>
                <w:rFonts w:ascii="Times New Roman" w:hAnsi="Times New Roman"/>
                <w:b/>
              </w:rPr>
            </w:pPr>
            <w:r w:rsidRPr="0060025D">
              <w:rPr>
                <w:rFonts w:ascii="Times New Roman" w:hAnsi="Times New Roman"/>
                <w:b/>
              </w:rPr>
              <w:t>Description of Service Category</w:t>
            </w:r>
          </w:p>
        </w:tc>
        <w:tc>
          <w:tcPr>
            <w:tcW w:w="3117" w:type="dxa"/>
          </w:tcPr>
          <w:p w14:paraId="4763EECE" w14:textId="0FACB697" w:rsidR="00E1517B" w:rsidRPr="0060025D" w:rsidRDefault="00E1517B" w:rsidP="00E1517B">
            <w:pPr>
              <w:jc w:val="center"/>
              <w:rPr>
                <w:rFonts w:ascii="Times New Roman" w:hAnsi="Times New Roman"/>
                <w:b/>
              </w:rPr>
            </w:pPr>
            <w:r w:rsidRPr="0060025D">
              <w:rPr>
                <w:rFonts w:ascii="Times New Roman" w:hAnsi="Times New Roman"/>
                <w:b/>
              </w:rPr>
              <w:t>Hourly Rate</w:t>
            </w:r>
          </w:p>
        </w:tc>
      </w:tr>
      <w:tr w:rsidR="00E1517B" w:rsidRPr="0060025D" w14:paraId="19E855F4" w14:textId="77777777" w:rsidTr="00ED66A0">
        <w:tc>
          <w:tcPr>
            <w:tcW w:w="3841" w:type="dxa"/>
          </w:tcPr>
          <w:p w14:paraId="5CC99CED" w14:textId="4E3C58F3" w:rsidR="00E1517B" w:rsidRPr="0060025D" w:rsidRDefault="001010F6" w:rsidP="00ED66A0">
            <w:pPr>
              <w:spacing w:before="100" w:beforeAutospacing="1" w:after="100" w:afterAutospacing="1"/>
              <w:rPr>
                <w:rFonts w:ascii="Times New Roman" w:eastAsia="Times New Roman" w:hAnsi="Times New Roman"/>
                <w:sz w:val="24"/>
                <w:szCs w:val="24"/>
              </w:rPr>
            </w:pPr>
            <w:r w:rsidRPr="001010F6">
              <w:rPr>
                <w:rFonts w:ascii="Times New Roman" w:eastAsia="Times New Roman" w:hAnsi="Times New Roman"/>
                <w:sz w:val="24"/>
                <w:szCs w:val="24"/>
              </w:rPr>
              <w:t>86000000-ITQ-257</w:t>
            </w:r>
            <w:r w:rsidRPr="0060025D">
              <w:rPr>
                <w:rFonts w:ascii="Times New Roman" w:eastAsia="Times New Roman" w:hAnsi="Times New Roman"/>
                <w:sz w:val="24"/>
                <w:szCs w:val="24"/>
              </w:rPr>
              <w:t xml:space="preserve"> </w:t>
            </w:r>
            <w:r w:rsidR="00E1517B" w:rsidRPr="0060025D">
              <w:rPr>
                <w:rFonts w:ascii="Times New Roman" w:hAnsi="Times New Roman"/>
              </w:rPr>
              <w:t>TERRITORY A: Philadelphia District Office</w:t>
            </w:r>
          </w:p>
        </w:tc>
        <w:tc>
          <w:tcPr>
            <w:tcW w:w="3117" w:type="dxa"/>
          </w:tcPr>
          <w:p w14:paraId="3D9608D0" w14:textId="320DED0E" w:rsidR="00E1517B" w:rsidRPr="0060025D" w:rsidRDefault="00E1517B" w:rsidP="00E1517B">
            <w:pPr>
              <w:pStyle w:val="NormalWeb"/>
            </w:pPr>
            <w:r w:rsidRPr="0060025D">
              <w:t>Bucks, Chester, Delaware, Montgomery, and Philadelphia Counties</w:t>
            </w:r>
          </w:p>
        </w:tc>
        <w:tc>
          <w:tcPr>
            <w:tcW w:w="3117" w:type="dxa"/>
          </w:tcPr>
          <w:p w14:paraId="3FDCEFCD" w14:textId="77777777" w:rsidR="00E1517B" w:rsidRPr="0060025D" w:rsidRDefault="00E1517B" w:rsidP="005465BA">
            <w:pPr>
              <w:rPr>
                <w:rFonts w:ascii="Times New Roman" w:hAnsi="Times New Roman"/>
              </w:rPr>
            </w:pPr>
          </w:p>
        </w:tc>
      </w:tr>
      <w:tr w:rsidR="00E1517B" w:rsidRPr="0060025D" w14:paraId="4B05C9DE" w14:textId="77777777" w:rsidTr="00ED66A0">
        <w:tc>
          <w:tcPr>
            <w:tcW w:w="3841" w:type="dxa"/>
          </w:tcPr>
          <w:p w14:paraId="0B16CE89" w14:textId="3A8D7009" w:rsidR="00E1517B" w:rsidRPr="0060025D" w:rsidRDefault="001010F6" w:rsidP="001010F6">
            <w:pPr>
              <w:spacing w:before="100" w:beforeAutospacing="1" w:after="100" w:afterAutospacing="1"/>
              <w:rPr>
                <w:rFonts w:ascii="Times New Roman" w:eastAsia="Times New Roman" w:hAnsi="Times New Roman"/>
                <w:sz w:val="24"/>
                <w:szCs w:val="24"/>
              </w:rPr>
            </w:pPr>
            <w:r w:rsidRPr="001010F6">
              <w:rPr>
                <w:rFonts w:ascii="Times New Roman" w:eastAsia="Times New Roman" w:hAnsi="Times New Roman"/>
                <w:sz w:val="24"/>
                <w:szCs w:val="24"/>
              </w:rPr>
              <w:t>86000000-ITQ-25</w:t>
            </w:r>
            <w:r w:rsidRPr="0060025D">
              <w:rPr>
                <w:rFonts w:ascii="Times New Roman" w:eastAsia="Times New Roman" w:hAnsi="Times New Roman"/>
                <w:sz w:val="24"/>
                <w:szCs w:val="24"/>
              </w:rPr>
              <w:t xml:space="preserve">8 </w:t>
            </w:r>
            <w:r w:rsidR="00E1517B" w:rsidRPr="0060025D">
              <w:rPr>
                <w:rFonts w:ascii="Times New Roman" w:hAnsi="Times New Roman"/>
              </w:rPr>
              <w:t xml:space="preserve">TERRITORY B: </w:t>
            </w:r>
          </w:p>
          <w:p w14:paraId="01363A40" w14:textId="5A6AC503" w:rsidR="00E1517B" w:rsidRPr="0060025D" w:rsidRDefault="00E1517B" w:rsidP="005465BA">
            <w:pPr>
              <w:rPr>
                <w:rFonts w:ascii="Times New Roman" w:hAnsi="Times New Roman"/>
              </w:rPr>
            </w:pPr>
            <w:r w:rsidRPr="0060025D">
              <w:rPr>
                <w:rFonts w:ascii="Times New Roman" w:hAnsi="Times New Roman"/>
              </w:rPr>
              <w:t>Harrisburg, Pottsville, Sunbury, and Scranton District Offices</w:t>
            </w:r>
          </w:p>
        </w:tc>
        <w:tc>
          <w:tcPr>
            <w:tcW w:w="3117" w:type="dxa"/>
          </w:tcPr>
          <w:p w14:paraId="18655D1A" w14:textId="688BC216" w:rsidR="00E1517B" w:rsidRPr="0060025D" w:rsidRDefault="00E1517B" w:rsidP="00E1517B">
            <w:pPr>
              <w:pStyle w:val="NormalWeb"/>
            </w:pPr>
            <w:r w:rsidRPr="0060025D">
              <w:t>Adams, Berks, Bradford, Carbon, Centre, Clinton, Columbia, Cumberland, Dauphin, Franklin, Juniata, Lackawanna, Lancaster, Lebanon, Lehigh, Luzerne, Lycoming, Mifflin, Monroe, Montour, Northampton, Northumberland, Perry, Pike, Potter, Schuylkill, Snyder, Sullivan, Susquehanna, Tioga, Union, Wayne, Wyoming, and York Counties</w:t>
            </w:r>
          </w:p>
        </w:tc>
        <w:tc>
          <w:tcPr>
            <w:tcW w:w="3117" w:type="dxa"/>
          </w:tcPr>
          <w:p w14:paraId="03B17C9A" w14:textId="77777777" w:rsidR="00E1517B" w:rsidRPr="0060025D" w:rsidRDefault="00E1517B" w:rsidP="005465BA">
            <w:pPr>
              <w:rPr>
                <w:rFonts w:ascii="Times New Roman" w:hAnsi="Times New Roman"/>
              </w:rPr>
            </w:pPr>
          </w:p>
        </w:tc>
      </w:tr>
      <w:tr w:rsidR="00E1517B" w:rsidRPr="0060025D" w14:paraId="65AE4F57" w14:textId="77777777" w:rsidTr="00ED66A0">
        <w:tc>
          <w:tcPr>
            <w:tcW w:w="3841" w:type="dxa"/>
          </w:tcPr>
          <w:p w14:paraId="0EFA821F" w14:textId="75BC9694" w:rsidR="001010F6" w:rsidRPr="001010F6" w:rsidRDefault="001010F6" w:rsidP="001010F6">
            <w:pPr>
              <w:rPr>
                <w:rFonts w:ascii="Times New Roman" w:hAnsi="Times New Roman"/>
              </w:rPr>
            </w:pPr>
            <w:r w:rsidRPr="001010F6">
              <w:rPr>
                <w:rFonts w:ascii="Times New Roman" w:eastAsia="Times New Roman" w:hAnsi="Times New Roman"/>
                <w:sz w:val="24"/>
                <w:szCs w:val="24"/>
              </w:rPr>
              <w:t>86000000-ITQ-25</w:t>
            </w:r>
            <w:r w:rsidRPr="0060025D">
              <w:rPr>
                <w:rFonts w:ascii="Times New Roman" w:eastAsia="Times New Roman" w:hAnsi="Times New Roman"/>
                <w:sz w:val="24"/>
                <w:szCs w:val="24"/>
              </w:rPr>
              <w:t xml:space="preserve">9 </w:t>
            </w:r>
            <w:r w:rsidRPr="0060025D">
              <w:rPr>
                <w:rFonts w:ascii="Times New Roman" w:hAnsi="Times New Roman"/>
              </w:rPr>
              <w:t xml:space="preserve">TERRITORY C: </w:t>
            </w:r>
          </w:p>
          <w:p w14:paraId="381E2865" w14:textId="3315946E" w:rsidR="00E1517B" w:rsidRPr="0060025D" w:rsidRDefault="00E1517B" w:rsidP="005465BA">
            <w:pPr>
              <w:rPr>
                <w:rFonts w:ascii="Times New Roman" w:hAnsi="Times New Roman"/>
              </w:rPr>
            </w:pPr>
            <w:r w:rsidRPr="0060025D">
              <w:rPr>
                <w:rFonts w:ascii="Times New Roman" w:hAnsi="Times New Roman"/>
              </w:rPr>
              <w:t>Pittsburgh, Johnstown, and Erie District Offices</w:t>
            </w:r>
          </w:p>
        </w:tc>
        <w:tc>
          <w:tcPr>
            <w:tcW w:w="3117" w:type="dxa"/>
          </w:tcPr>
          <w:p w14:paraId="78008BA5" w14:textId="0F9537C3" w:rsidR="00E1517B" w:rsidRPr="0060025D" w:rsidRDefault="00E1517B" w:rsidP="00E1517B">
            <w:pPr>
              <w:pStyle w:val="NormalWeb"/>
            </w:pPr>
            <w:r w:rsidRPr="0060025D">
              <w:t>Allegheny, Armstrong, Beaver, Bedford, Blair, Butler, Cambria, Cameron, Clarion, Clearfield, Crawford, Elk, Erie, Fayette, Forest, Fulton, Greene, Huntingdon, Indiana, Jefferson, Lawrence, McKean, Mercer, Somerset, Venango, Warren, Washington, and Westmoreland Counties</w:t>
            </w:r>
          </w:p>
        </w:tc>
        <w:tc>
          <w:tcPr>
            <w:tcW w:w="3117" w:type="dxa"/>
          </w:tcPr>
          <w:p w14:paraId="47FA3ACB" w14:textId="77777777" w:rsidR="00E1517B" w:rsidRPr="0060025D" w:rsidRDefault="00E1517B" w:rsidP="005465BA">
            <w:pPr>
              <w:rPr>
                <w:rFonts w:ascii="Times New Roman" w:hAnsi="Times New Roman"/>
              </w:rPr>
            </w:pPr>
          </w:p>
        </w:tc>
      </w:tr>
      <w:tr w:rsidR="00E1517B" w:rsidRPr="0060025D" w14:paraId="3D8D7F71" w14:textId="77777777" w:rsidTr="00ED66A0">
        <w:tc>
          <w:tcPr>
            <w:tcW w:w="3841" w:type="dxa"/>
          </w:tcPr>
          <w:p w14:paraId="6B26B563" w14:textId="754B7070" w:rsidR="00E1517B" w:rsidRPr="0060025D" w:rsidRDefault="001010F6" w:rsidP="001010F6">
            <w:pPr>
              <w:spacing w:before="100" w:beforeAutospacing="1" w:after="100" w:afterAutospacing="1"/>
              <w:rPr>
                <w:rFonts w:ascii="Times New Roman" w:eastAsia="Times New Roman" w:hAnsi="Times New Roman"/>
                <w:sz w:val="24"/>
                <w:szCs w:val="24"/>
              </w:rPr>
            </w:pPr>
            <w:r w:rsidRPr="001010F6">
              <w:rPr>
                <w:rFonts w:ascii="Times New Roman" w:eastAsia="Times New Roman" w:hAnsi="Times New Roman"/>
                <w:sz w:val="24"/>
                <w:szCs w:val="24"/>
              </w:rPr>
              <w:t>86000000-ITQ-2</w:t>
            </w:r>
            <w:r w:rsidRPr="0060025D">
              <w:rPr>
                <w:rFonts w:ascii="Times New Roman" w:eastAsia="Times New Roman" w:hAnsi="Times New Roman"/>
                <w:sz w:val="24"/>
                <w:szCs w:val="24"/>
              </w:rPr>
              <w:t xml:space="preserve">60 </w:t>
            </w:r>
            <w:r w:rsidR="00E1517B" w:rsidRPr="0060025D">
              <w:rPr>
                <w:rFonts w:ascii="Times New Roman" w:hAnsi="Times New Roman"/>
              </w:rPr>
              <w:t>Statewide</w:t>
            </w:r>
          </w:p>
        </w:tc>
        <w:tc>
          <w:tcPr>
            <w:tcW w:w="3117" w:type="dxa"/>
          </w:tcPr>
          <w:p w14:paraId="47098FAD" w14:textId="36F3975F" w:rsidR="00E1517B" w:rsidRPr="0060025D" w:rsidRDefault="00E1517B" w:rsidP="00E1517B">
            <w:pPr>
              <w:pStyle w:val="NormalWeb"/>
            </w:pPr>
            <w:r w:rsidRPr="0060025D">
              <w:t xml:space="preserve">Includes all 67 counties within Pennsylvania </w:t>
            </w:r>
          </w:p>
        </w:tc>
        <w:tc>
          <w:tcPr>
            <w:tcW w:w="3117" w:type="dxa"/>
          </w:tcPr>
          <w:p w14:paraId="54D9AB4D" w14:textId="77777777" w:rsidR="00E1517B" w:rsidRPr="0060025D" w:rsidRDefault="00E1517B" w:rsidP="005465BA">
            <w:pPr>
              <w:rPr>
                <w:rFonts w:ascii="Times New Roman" w:hAnsi="Times New Roman"/>
              </w:rPr>
            </w:pPr>
          </w:p>
        </w:tc>
      </w:tr>
    </w:tbl>
    <w:p w14:paraId="285F3572" w14:textId="77777777" w:rsidR="00E1517B" w:rsidRPr="0060025D" w:rsidRDefault="00E1517B" w:rsidP="005465BA">
      <w:pPr>
        <w:rPr>
          <w:rFonts w:ascii="Times New Roman" w:hAnsi="Times New Roman"/>
        </w:rPr>
      </w:pPr>
    </w:p>
    <w:p w14:paraId="2B9F2308" w14:textId="77777777" w:rsidR="009645F1" w:rsidRPr="0060025D" w:rsidRDefault="009645F1" w:rsidP="009645F1">
      <w:pPr>
        <w:rPr>
          <w:rFonts w:ascii="Times New Roman" w:hAnsi="Times New Roman"/>
          <w:b/>
        </w:rPr>
      </w:pPr>
    </w:p>
    <w:p w14:paraId="5C5FC461" w14:textId="5BBA1ADA" w:rsidR="009645F1" w:rsidRPr="0060025D" w:rsidRDefault="5697099B" w:rsidP="009645F1">
      <w:pPr>
        <w:rPr>
          <w:rFonts w:ascii="Times New Roman" w:hAnsi="Times New Roman"/>
        </w:rPr>
      </w:pPr>
      <w:r w:rsidRPr="0060025D">
        <w:rPr>
          <w:rFonts w:ascii="Times New Roman" w:hAnsi="Times New Roman"/>
        </w:rPr>
        <w:t>We suggest that you price the territory or territories your company can effectively service.  For instance, if concentrated in one area, it is suggested that you price that specific area.  You will be evaluated on the area price and your ability to perform the necessary services within that area.  If you elect to price all areas, you will be evaluated on your ability to service the entire geographical area.</w:t>
      </w:r>
    </w:p>
    <w:sectPr w:rsidR="009645F1" w:rsidRPr="0060025D" w:rsidSect="00ED66A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C5BB8" w14:textId="77777777" w:rsidR="00ED66A0" w:rsidRDefault="00ED66A0" w:rsidP="00ED66A0">
      <w:r>
        <w:separator/>
      </w:r>
    </w:p>
  </w:endnote>
  <w:endnote w:type="continuationSeparator" w:id="0">
    <w:p w14:paraId="6F1DF707" w14:textId="77777777" w:rsidR="00ED66A0" w:rsidRDefault="00ED66A0" w:rsidP="00ED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C4F42" w14:textId="77777777" w:rsidR="00ED66A0" w:rsidRDefault="00ED66A0" w:rsidP="00ED66A0">
      <w:r>
        <w:separator/>
      </w:r>
    </w:p>
  </w:footnote>
  <w:footnote w:type="continuationSeparator" w:id="0">
    <w:p w14:paraId="4A1C7E43" w14:textId="77777777" w:rsidR="00ED66A0" w:rsidRDefault="00ED66A0" w:rsidP="00ED6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5709" w14:textId="77777777" w:rsidR="00ED66A0" w:rsidRDefault="00ED66A0" w:rsidP="00ED66A0">
    <w:pPr>
      <w:jc w:val="center"/>
      <w:rPr>
        <w:rFonts w:ascii="Times New Roman" w:hAnsi="Times New Roman"/>
        <w:b/>
      </w:rPr>
    </w:pPr>
    <w:r w:rsidRPr="0060025D">
      <w:rPr>
        <w:rFonts w:ascii="Times New Roman" w:hAnsi="Times New Roman"/>
        <w:b/>
      </w:rPr>
      <w:t xml:space="preserve">ATTACHMENT </w:t>
    </w:r>
    <w:r>
      <w:rPr>
        <w:rFonts w:ascii="Times New Roman" w:hAnsi="Times New Roman"/>
        <w:b/>
      </w:rPr>
      <w:t>B – COST SUBMITTAL</w:t>
    </w:r>
  </w:p>
  <w:p w14:paraId="3537BB74" w14:textId="77777777" w:rsidR="00ED66A0" w:rsidRPr="0060025D" w:rsidRDefault="00ED66A0" w:rsidP="00ED66A0">
    <w:pPr>
      <w:jc w:val="center"/>
      <w:rPr>
        <w:rFonts w:ascii="Times New Roman" w:hAnsi="Times New Roman"/>
        <w:b/>
      </w:rPr>
    </w:pPr>
  </w:p>
  <w:p w14:paraId="361F1A0C" w14:textId="77777777" w:rsidR="00ED66A0" w:rsidRPr="0060025D" w:rsidRDefault="00ED66A0" w:rsidP="00ED66A0">
    <w:pPr>
      <w:jc w:val="center"/>
      <w:rPr>
        <w:rFonts w:ascii="Times New Roman" w:hAnsi="Times New Roman"/>
        <w:b/>
      </w:rPr>
    </w:pPr>
    <w:r w:rsidRPr="0060025D">
      <w:rPr>
        <w:rFonts w:ascii="Times New Roman" w:hAnsi="Times New Roman"/>
        <w:b/>
      </w:rPr>
      <w:t>VOCATIONAL REHABILITATION SERVICES</w:t>
    </w:r>
  </w:p>
  <w:p w14:paraId="62370E15" w14:textId="77777777" w:rsidR="00ED66A0" w:rsidRPr="0060025D" w:rsidRDefault="00ED66A0" w:rsidP="00ED66A0">
    <w:pPr>
      <w:jc w:val="center"/>
      <w:rPr>
        <w:rFonts w:ascii="Times New Roman" w:hAnsi="Times New Roman"/>
        <w:b/>
        <w:bCs/>
      </w:rPr>
    </w:pPr>
    <w:r w:rsidRPr="0060025D">
      <w:rPr>
        <w:rFonts w:ascii="Times New Roman" w:hAnsi="Times New Roman"/>
        <w:b/>
        <w:bCs/>
      </w:rPr>
      <w:t>ITQ # 4400020223</w:t>
    </w:r>
  </w:p>
  <w:p w14:paraId="66533F66" w14:textId="77777777" w:rsidR="00ED66A0" w:rsidRDefault="00ED66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5F1"/>
    <w:rsid w:val="001010F6"/>
    <w:rsid w:val="00127B3A"/>
    <w:rsid w:val="001E1A72"/>
    <w:rsid w:val="0021301F"/>
    <w:rsid w:val="005465BA"/>
    <w:rsid w:val="0060025D"/>
    <w:rsid w:val="006D7438"/>
    <w:rsid w:val="008E0251"/>
    <w:rsid w:val="009645F1"/>
    <w:rsid w:val="00973565"/>
    <w:rsid w:val="00A101D8"/>
    <w:rsid w:val="00B91A52"/>
    <w:rsid w:val="00BA043E"/>
    <w:rsid w:val="00C03470"/>
    <w:rsid w:val="00E1517B"/>
    <w:rsid w:val="00E90EFB"/>
    <w:rsid w:val="00ED66A0"/>
    <w:rsid w:val="00F247F8"/>
    <w:rsid w:val="00FF6F2A"/>
    <w:rsid w:val="5697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A9EC"/>
  <w15:docId w15:val="{115A32EC-74D7-413B-AB08-6D9594D3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43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517B"/>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ED66A0"/>
    <w:pPr>
      <w:tabs>
        <w:tab w:val="center" w:pos="4680"/>
        <w:tab w:val="right" w:pos="9360"/>
      </w:tabs>
    </w:pPr>
  </w:style>
  <w:style w:type="character" w:customStyle="1" w:styleId="HeaderChar">
    <w:name w:val="Header Char"/>
    <w:basedOn w:val="DefaultParagraphFont"/>
    <w:link w:val="Header"/>
    <w:uiPriority w:val="99"/>
    <w:rsid w:val="00ED66A0"/>
    <w:rPr>
      <w:sz w:val="22"/>
      <w:szCs w:val="22"/>
    </w:rPr>
  </w:style>
  <w:style w:type="paragraph" w:styleId="Footer">
    <w:name w:val="footer"/>
    <w:basedOn w:val="Normal"/>
    <w:link w:val="FooterChar"/>
    <w:uiPriority w:val="99"/>
    <w:unhideWhenUsed/>
    <w:rsid w:val="00ED66A0"/>
    <w:pPr>
      <w:tabs>
        <w:tab w:val="center" w:pos="4680"/>
        <w:tab w:val="right" w:pos="9360"/>
      </w:tabs>
    </w:pPr>
  </w:style>
  <w:style w:type="character" w:customStyle="1" w:styleId="FooterChar">
    <w:name w:val="Footer Char"/>
    <w:basedOn w:val="DefaultParagraphFont"/>
    <w:link w:val="Footer"/>
    <w:uiPriority w:val="99"/>
    <w:rsid w:val="00ED66A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28193">
      <w:bodyDiv w:val="1"/>
      <w:marLeft w:val="0"/>
      <w:marRight w:val="0"/>
      <w:marTop w:val="0"/>
      <w:marBottom w:val="0"/>
      <w:divBdr>
        <w:top w:val="none" w:sz="0" w:space="0" w:color="auto"/>
        <w:left w:val="none" w:sz="0" w:space="0" w:color="auto"/>
        <w:bottom w:val="none" w:sz="0" w:space="0" w:color="auto"/>
        <w:right w:val="none" w:sz="0" w:space="0" w:color="auto"/>
      </w:divBdr>
    </w:div>
    <w:div w:id="389114195">
      <w:bodyDiv w:val="1"/>
      <w:marLeft w:val="0"/>
      <w:marRight w:val="0"/>
      <w:marTop w:val="0"/>
      <w:marBottom w:val="0"/>
      <w:divBdr>
        <w:top w:val="none" w:sz="0" w:space="0" w:color="auto"/>
        <w:left w:val="none" w:sz="0" w:space="0" w:color="auto"/>
        <w:bottom w:val="none" w:sz="0" w:space="0" w:color="auto"/>
        <w:right w:val="none" w:sz="0" w:space="0" w:color="auto"/>
      </w:divBdr>
    </w:div>
    <w:div w:id="459307269">
      <w:bodyDiv w:val="1"/>
      <w:marLeft w:val="0"/>
      <w:marRight w:val="0"/>
      <w:marTop w:val="0"/>
      <w:marBottom w:val="0"/>
      <w:divBdr>
        <w:top w:val="none" w:sz="0" w:space="0" w:color="auto"/>
        <w:left w:val="none" w:sz="0" w:space="0" w:color="auto"/>
        <w:bottom w:val="none" w:sz="0" w:space="0" w:color="auto"/>
        <w:right w:val="none" w:sz="0" w:space="0" w:color="auto"/>
      </w:divBdr>
    </w:div>
    <w:div w:id="956373967">
      <w:bodyDiv w:val="1"/>
      <w:marLeft w:val="0"/>
      <w:marRight w:val="0"/>
      <w:marTop w:val="0"/>
      <w:marBottom w:val="0"/>
      <w:divBdr>
        <w:top w:val="none" w:sz="0" w:space="0" w:color="auto"/>
        <w:left w:val="none" w:sz="0" w:space="0" w:color="auto"/>
        <w:bottom w:val="none" w:sz="0" w:space="0" w:color="auto"/>
        <w:right w:val="none" w:sz="0" w:space="0" w:color="auto"/>
      </w:divBdr>
    </w:div>
    <w:div w:id="1007441793">
      <w:bodyDiv w:val="1"/>
      <w:marLeft w:val="0"/>
      <w:marRight w:val="0"/>
      <w:marTop w:val="0"/>
      <w:marBottom w:val="0"/>
      <w:divBdr>
        <w:top w:val="none" w:sz="0" w:space="0" w:color="auto"/>
        <w:left w:val="none" w:sz="0" w:space="0" w:color="auto"/>
        <w:bottom w:val="none" w:sz="0" w:space="0" w:color="auto"/>
        <w:right w:val="none" w:sz="0" w:space="0" w:color="auto"/>
      </w:divBdr>
    </w:div>
    <w:div w:id="1823232492">
      <w:bodyDiv w:val="1"/>
      <w:marLeft w:val="0"/>
      <w:marRight w:val="0"/>
      <w:marTop w:val="0"/>
      <w:marBottom w:val="0"/>
      <w:divBdr>
        <w:top w:val="none" w:sz="0" w:space="0" w:color="auto"/>
        <w:left w:val="none" w:sz="0" w:space="0" w:color="auto"/>
        <w:bottom w:val="none" w:sz="0" w:space="0" w:color="auto"/>
        <w:right w:val="none" w:sz="0" w:space="0" w:color="auto"/>
      </w:divBdr>
    </w:div>
    <w:div w:id="1884556570">
      <w:bodyDiv w:val="1"/>
      <w:marLeft w:val="0"/>
      <w:marRight w:val="0"/>
      <w:marTop w:val="0"/>
      <w:marBottom w:val="0"/>
      <w:divBdr>
        <w:top w:val="none" w:sz="0" w:space="0" w:color="auto"/>
        <w:left w:val="none" w:sz="0" w:space="0" w:color="auto"/>
        <w:bottom w:val="none" w:sz="0" w:space="0" w:color="auto"/>
        <w:right w:val="none" w:sz="0" w:space="0" w:color="auto"/>
      </w:divBdr>
    </w:div>
    <w:div w:id="1985545454">
      <w:bodyDiv w:val="1"/>
      <w:marLeft w:val="0"/>
      <w:marRight w:val="0"/>
      <w:marTop w:val="0"/>
      <w:marBottom w:val="0"/>
      <w:divBdr>
        <w:top w:val="none" w:sz="0" w:space="0" w:color="auto"/>
        <w:left w:val="none" w:sz="0" w:space="0" w:color="auto"/>
        <w:bottom w:val="none" w:sz="0" w:space="0" w:color="auto"/>
        <w:right w:val="none" w:sz="0" w:space="0" w:color="auto"/>
      </w:divBdr>
    </w:div>
    <w:div w:id="206236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cf6284e90f2d08b3582bd25a6fa43fb7">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3ca9f7455bbbfe9ea5c67a13525bc31"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D05DFED6-7CCE-4816-9789-DF9BCFC83EA3}"/>
</file>

<file path=customXml/itemProps2.xml><?xml version="1.0" encoding="utf-8"?>
<ds:datastoreItem xmlns:ds="http://schemas.openxmlformats.org/officeDocument/2006/customXml" ds:itemID="{C9A7DBD7-DC45-4326-BC00-5B00D7F0BD7E}"/>
</file>

<file path=customXml/itemProps3.xml><?xml version="1.0" encoding="utf-8"?>
<ds:datastoreItem xmlns:ds="http://schemas.openxmlformats.org/officeDocument/2006/customXml" ds:itemID="{F426EDB1-4C2C-456D-B88B-CDF3945950AB}"/>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Labor &amp; Industry</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ecoles</dc:creator>
  <cp:lastModifiedBy>Schurtz, Sonya</cp:lastModifiedBy>
  <cp:revision>2</cp:revision>
  <dcterms:created xsi:type="dcterms:W3CDTF">2019-04-26T16:44:00Z</dcterms:created>
  <dcterms:modified xsi:type="dcterms:W3CDTF">2019-04-26T16:44:00Z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Order">
    <vt:r8>213200</vt:r8>
  </property>
  <property fmtid="{D5CDD505-2E9C-101B-9397-08002B2CF9AE}" pid="7" name="PublishingRollupImage">
    <vt:lpwstr/>
  </property>
  <property fmtid="{D5CDD505-2E9C-101B-9397-08002B2CF9AE}" pid="8" name="PublishingContactEmail">
    <vt:lpwstr/>
  </property>
  <property fmtid="{D5CDD505-2E9C-101B-9397-08002B2CF9AE}" pid="9" name="xd_Signature">
    <vt:bool>false</vt:bool>
  </property>
  <property fmtid="{D5CDD505-2E9C-101B-9397-08002B2CF9AE}" pid="10" name="PublishingIsFurlPage">
    <vt:bool>false</vt:bool>
  </property>
  <property fmtid="{D5CDD505-2E9C-101B-9397-08002B2CF9AE}" pid="11" name="xd_ProgID">
    <vt:lpwstr/>
  </property>
  <property fmtid="{D5CDD505-2E9C-101B-9397-08002B2CF9AE}" pid="12" name="PublishingContactPicture">
    <vt:lpwstr/>
  </property>
  <property fmtid="{D5CDD505-2E9C-101B-9397-08002B2CF9AE}" pid="13" name="PublishingVariationGroupID">
    <vt:lpwstr/>
  </property>
  <property fmtid="{D5CDD505-2E9C-101B-9397-08002B2CF9AE}" pid="14" name="RobotsNoIndex">
    <vt:bool>false</vt:bool>
  </property>
  <property fmtid="{D5CDD505-2E9C-101B-9397-08002B2CF9AE}" pid="15" name="SeoMetaDescription">
    <vt:lpwstr/>
  </property>
  <property fmtid="{D5CDD505-2E9C-101B-9397-08002B2CF9AE}" pid="16" name="PublishingContactName">
    <vt:lpwstr/>
  </property>
  <property fmtid="{D5CDD505-2E9C-101B-9397-08002B2CF9AE}" pid="17" name="PublishingVariationRelationshipLinkFieldID">
    <vt:lpwstr/>
  </property>
  <property fmtid="{D5CDD505-2E9C-101B-9397-08002B2CF9AE}" pid="18" name="_SourceUrl">
    <vt:lpwstr/>
  </property>
  <property fmtid="{D5CDD505-2E9C-101B-9397-08002B2CF9AE}" pid="19" name="_SharedFileIndex">
    <vt:lpwstr/>
  </property>
  <property fmtid="{D5CDD505-2E9C-101B-9397-08002B2CF9AE}" pid="20" name="Comments">
    <vt:lpwstr/>
  </property>
  <property fmtid="{D5CDD505-2E9C-101B-9397-08002B2CF9AE}" pid="21" name="PublishingPageLayout">
    <vt:lpwstr/>
  </property>
  <property fmtid="{D5CDD505-2E9C-101B-9397-08002B2CF9AE}" pid="22" name="TemplateUrl">
    <vt:lpwstr/>
  </property>
  <property fmtid="{D5CDD505-2E9C-101B-9397-08002B2CF9AE}" pid="23" name="Audience">
    <vt:lpwstr/>
  </property>
</Properties>
</file>